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2021.10.28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ՇՄՆ-ԷԱՃ-ԱՊՁԲ-22/07</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ուղեգորգի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12</w:t>
      </w:r>
      <w:r w:rsidR="00357D48" w:rsidRPr="00857ECA">
        <w:rPr>
          <w:rFonts w:ascii="Calibri" w:hAnsi="Calibri" w:cs="Calibri"/>
          <w:i w:val="0"/>
          <w:lang w:val="af-ZA"/>
        </w:rPr>
        <w:t>-րդ օրվա ժամը</w:t>
      </w:r>
      <w:r w:rsidR="005C0411" w:rsidRPr="00857ECA">
        <w:rPr>
          <w:rFonts w:ascii="Calibri" w:hAnsi="Calibri" w:cs="Calibri"/>
          <w:i w:val="0"/>
          <w:lang w:val="af-ZA"/>
        </w:rPr>
        <w:t>10:30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12</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10:30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ՇՄՆ-ԷԱՃ-ԱՊՁԲ-22/07</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2021.10.28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ուղեգորգի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ուղեգորգի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ՇՄՆ-ԷԱՃ-ԱՊՁԲ-22/07</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ուղեգորգի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ուղեգորգեր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12</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10:30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477.31</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6.78</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553.35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2021.11.10. 10:30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ՇՄՆ-ԷԱՃ-ԱՊՁԲ-22/07</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ՇՄՆ-ԷԱՃ-ԱՊՁԲ-22/07</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«ՇՄՆ-ԷԱՃ-ԱՊՁԲ-22/07»*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ՇՄՆ-ԷԱՃ-ԱՊՁԲ-22/07*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«ՇՄՆ-ԷԱՃ-ԱՊՁԲ-22/07»*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ՇՄՆ-ԷԱՃ-ԱՊՁԲ-22/07*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ՇՄՆ-ԷԱՃ-ԱՊՁԲ-22/07</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20-ը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730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39531700/502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ուղեգորգեր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Հումքի տեսակ՝ խավը որսի թել (ոլորված), պոլիպրոպիլեն N 2400DTEX կամ համարժեքը, հենքի թել` պոլիէսթեր N 1100 կամ համարժեքը, միջնաթելը՝ ջութ (վուշ, 24/1) կամ համարժեքը, գործվածքի խտությունը՝ 750 հազար հանգույց/քմ, քաշը՝ 2300-2400 գր/քմ, եզրակարը՝ թելը պոլիպրոպիլեն, ժապավեն, գորգի որսի բարձրություն՝ 8-9 մմ, գորգի բարձրություն՝ 9-11 մմ, եզրակարի բարձրություն՝ 5-6 մմ, եզրակարի լայնություն՝ 10 մմ: Նախշազարդումներով (գույնի, դիզայնի համաձայնեցումը պատվիրատուի հետ), չափսերը՝ 93 x 1,2 մետր:
Անվտանգությունը շրջակա միջավայրի համար՝ հակաալերգիկ, հրակայուն:
Երաշխիքային ժամկետ՝ նվազագույնը 4 տարի:
Առաքման, տեղադրման ու ամրացման (սոսնձվածքով) կազմակերպում մատակարարի կողմից` պատվիրատուի տրված չափերին համապատասխան:
Հաղթող մասնակցին կտրամադրվի էսքիզները:
Ապրանքը՝ գործարանային արտադրության, թողարկման տարեթիվը ոչ ուշ 2021, չօգտագործված և ծագման վկայականի առկայությամբ: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