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 xml:space="preserve">երի և վարչական վարույթի մասին»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9146BA">
        <w:rPr>
          <w:rFonts w:ascii="GHEA Grapalat" w:hAnsi="GHEA Grapalat" w:cs="Sylfaen"/>
          <w:b/>
          <w:i/>
          <w:lang w:val="hy-AM"/>
        </w:rPr>
        <w:t>հոկտեմբերի 5</w:t>
      </w:r>
      <w:bookmarkStart w:id="0" w:name="_GoBack"/>
      <w:bookmarkEnd w:id="0"/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74AA5"/>
    <w:rsid w:val="0018785C"/>
    <w:rsid w:val="001976C0"/>
    <w:rsid w:val="001A12D8"/>
    <w:rsid w:val="001A18C9"/>
    <w:rsid w:val="001B276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410AE"/>
    <w:rsid w:val="00486AB9"/>
    <w:rsid w:val="00487A6F"/>
    <w:rsid w:val="00492075"/>
    <w:rsid w:val="004934B9"/>
    <w:rsid w:val="004A17CF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146BA"/>
    <w:rsid w:val="0092210D"/>
    <w:rsid w:val="00925A2D"/>
    <w:rsid w:val="00930B8C"/>
    <w:rsid w:val="009327B6"/>
    <w:rsid w:val="0093506C"/>
    <w:rsid w:val="009800A6"/>
    <w:rsid w:val="009E1B18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292A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2021-01-13T07:11:00Z</cp:lastPrinted>
  <dcterms:created xsi:type="dcterms:W3CDTF">2023-09-06T07:10:00Z</dcterms:created>
  <dcterms:modified xsi:type="dcterms:W3CDTF">2023-10-02T06:48:00Z</dcterms:modified>
</cp:coreProperties>
</file>